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072"/>
        </w:tabs>
        <w:jc w:val="both"/>
        <w:rPr>
          <w:rFonts w:hint="default" w:ascii="Arial" w:hAnsi="Arial" w:eastAsia="宋体"/>
          <w:b/>
          <w:i/>
          <w:color w:val="auto"/>
          <w:sz w:val="24"/>
          <w:lang w:val="en-US" w:eastAsia="zh-CN"/>
        </w:rPr>
      </w:pPr>
      <w:r>
        <w:rPr>
          <w:rFonts w:ascii="Arial" w:hAnsi="Arial" w:cs="Arial"/>
          <w:b/>
          <w:color w:val="auto"/>
          <w:sz w:val="24"/>
        </w:rPr>
        <w:t xml:space="preserve">3GPP TSG-RAN WG4 Meeting </w:t>
      </w:r>
      <w:r>
        <w:rPr>
          <w:rFonts w:hint="eastAsia" w:ascii="Arial" w:hAnsi="Arial" w:cs="Arial"/>
          <w:b/>
          <w:color w:val="auto"/>
          <w:sz w:val="24"/>
          <w:lang w:eastAsia="zh-CN"/>
        </w:rPr>
        <w:t>#</w:t>
      </w:r>
      <w:r>
        <w:rPr>
          <w:rFonts w:hint="eastAsia" w:ascii="Arial" w:hAnsi="Arial" w:cs="Arial"/>
          <w:b/>
          <w:color w:val="auto"/>
          <w:sz w:val="24"/>
          <w:lang w:val="en-US" w:eastAsia="zh-CN"/>
        </w:rPr>
        <w:t xml:space="preserve">102 </w:t>
      </w:r>
      <w:r>
        <w:rPr>
          <w:rFonts w:ascii="Arial" w:hAnsi="Arial" w:eastAsia="宋体" w:cs="Arial"/>
          <w:b/>
          <w:color w:val="auto"/>
          <w:sz w:val="24"/>
          <w:lang w:eastAsia="zh-CN"/>
        </w:rPr>
        <w:t>-e</w:t>
      </w:r>
      <w:r>
        <w:rPr>
          <w:rFonts w:ascii="Arial" w:hAnsi="Arial" w:eastAsia="MS Mincho"/>
          <w:b/>
          <w:color w:val="auto"/>
          <w:sz w:val="24"/>
        </w:rPr>
        <w:tab/>
      </w:r>
      <w:r>
        <w:rPr>
          <w:rFonts w:ascii="Arial" w:hAnsi="Arial"/>
          <w:b/>
          <w:color w:val="auto"/>
          <w:sz w:val="24"/>
          <w:lang w:eastAsia="zh-CN"/>
        </w:rPr>
        <w:t>R4-2</w:t>
      </w:r>
      <w:r>
        <w:rPr>
          <w:rFonts w:hint="eastAsia" w:ascii="Arial" w:hAnsi="Arial"/>
          <w:b/>
          <w:color w:val="auto"/>
          <w:sz w:val="24"/>
          <w:lang w:val="en-US" w:eastAsia="zh-CN"/>
        </w:rPr>
        <w:t>205015</w:t>
      </w:r>
      <w:bookmarkStart w:id="2" w:name="_GoBack"/>
      <w:bookmarkEnd w:id="2"/>
    </w:p>
    <w:p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 w:eastAsia="宋体"/>
          <w:b/>
          <w:color w:val="auto"/>
          <w:sz w:val="24"/>
          <w:lang w:val="en-GB" w:eastAsia="zh-CN"/>
        </w:rPr>
      </w:pPr>
      <w:r>
        <w:rPr>
          <w:rFonts w:ascii="Arial" w:hAnsi="Arial" w:eastAsia="宋体"/>
          <w:b/>
          <w:color w:val="auto"/>
          <w:sz w:val="24"/>
          <w:lang w:eastAsia="zh-CN"/>
        </w:rPr>
        <w:t xml:space="preserve">Electronic Meeting, </w:t>
      </w:r>
      <w:r>
        <w:rPr>
          <w:rFonts w:ascii="Arial" w:hAnsi="Arial" w:cs="Arial"/>
          <w:b/>
          <w:bCs/>
          <w:sz w:val="24"/>
          <w:szCs w:val="24"/>
        </w:rPr>
        <w:t>21 Feb–03 Mar</w:t>
      </w:r>
      <w:r>
        <w:rPr>
          <w:rFonts w:ascii="Arial" w:hAnsi="Arial" w:eastAsia="宋体"/>
          <w:b/>
          <w:color w:val="auto"/>
          <w:sz w:val="24"/>
          <w:lang w:eastAsia="zh-CN"/>
        </w:rPr>
        <w:t>, 202</w:t>
      </w:r>
      <w:r>
        <w:rPr>
          <w:rFonts w:hint="eastAsia" w:ascii="Arial" w:hAnsi="Arial" w:eastAsia="宋体"/>
          <w:b/>
          <w:color w:val="auto"/>
          <w:sz w:val="24"/>
          <w:lang w:val="en-US" w:eastAsia="zh-CN"/>
        </w:rPr>
        <w:t>2</w:t>
      </w:r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ascii="Arial" w:hAnsi="Arial" w:eastAsia="宋体"/>
          <w:b/>
          <w:color w:val="auto"/>
          <w:sz w:val="24"/>
          <w:lang w:val="en-GB" w:eastAsia="zh-CN"/>
        </w:rPr>
      </w:pPr>
    </w:p>
    <w:p>
      <w:pPr>
        <w:pStyle w:val="14"/>
        <w:tabs>
          <w:tab w:val="left" w:pos="1800"/>
          <w:tab w:val="clear" w:pos="4536"/>
        </w:tabs>
        <w:spacing w:after="60"/>
        <w:ind w:left="1800" w:hanging="1800"/>
        <w:jc w:val="both"/>
        <w:rPr>
          <w:rFonts w:eastAsia="宋体"/>
          <w:color w:val="auto"/>
          <w:sz w:val="24"/>
          <w:lang w:val="en-US" w:eastAsia="zh-CN"/>
        </w:rPr>
      </w:pPr>
      <w:r>
        <w:rPr>
          <w:color w:val="auto"/>
          <w:sz w:val="24"/>
        </w:rPr>
        <w:t>Source:</w:t>
      </w:r>
      <w:r>
        <w:rPr>
          <w:color w:val="auto"/>
          <w:sz w:val="24"/>
        </w:rPr>
        <w:tab/>
      </w:r>
      <w:r>
        <w:rPr>
          <w:rFonts w:eastAsia="宋体"/>
          <w:color w:val="auto"/>
          <w:sz w:val="24"/>
          <w:lang w:val="en-US" w:eastAsia="zh-CN"/>
        </w:rPr>
        <w:t>ZTE Corporation</w:t>
      </w:r>
    </w:p>
    <w:p>
      <w:pPr>
        <w:pStyle w:val="14"/>
        <w:tabs>
          <w:tab w:val="left" w:pos="1800"/>
          <w:tab w:val="clear" w:pos="4536"/>
        </w:tabs>
        <w:spacing w:after="60"/>
        <w:ind w:left="1807" w:hanging="1807" w:hangingChars="750"/>
        <w:rPr>
          <w:rFonts w:hint="default" w:eastAsia="宋体"/>
          <w:color w:val="auto"/>
          <w:sz w:val="24"/>
          <w:lang w:val="en-US" w:eastAsia="zh-CN"/>
        </w:rPr>
      </w:pPr>
      <w:r>
        <w:rPr>
          <w:color w:val="auto"/>
          <w:sz w:val="24"/>
        </w:rPr>
        <w:t>Title:</w:t>
      </w:r>
      <w:r>
        <w:rPr>
          <w:color w:val="auto"/>
          <w:sz w:val="24"/>
        </w:rPr>
        <w:tab/>
      </w:r>
      <w:bookmarkStart w:id="0" w:name="OLE_LINK4"/>
      <w:r>
        <w:rPr>
          <w:rFonts w:hint="eastAsia" w:eastAsia="宋体"/>
          <w:color w:val="auto"/>
          <w:sz w:val="24"/>
          <w:lang w:val="en-US" w:eastAsia="zh-CN"/>
        </w:rPr>
        <w:t xml:space="preserve">Discussion on </w:t>
      </w:r>
      <w:bookmarkEnd w:id="0"/>
      <w:r>
        <w:rPr>
          <w:rFonts w:hint="eastAsia" w:eastAsia="宋体"/>
          <w:color w:val="auto"/>
          <w:sz w:val="24"/>
          <w:lang w:val="en-US" w:eastAsia="zh-CN"/>
        </w:rPr>
        <w:t>Impact of MPE enhancements</w:t>
      </w:r>
    </w:p>
    <w:p>
      <w:pPr>
        <w:pStyle w:val="14"/>
        <w:tabs>
          <w:tab w:val="left" w:pos="1800"/>
          <w:tab w:val="left" w:pos="3825"/>
          <w:tab w:val="clear" w:pos="4536"/>
          <w:tab w:val="clear" w:pos="9072"/>
        </w:tabs>
        <w:spacing w:after="60"/>
        <w:jc w:val="both"/>
        <w:rPr>
          <w:rFonts w:hint="default" w:eastAsia="宋体"/>
          <w:color w:val="auto"/>
          <w:sz w:val="24"/>
          <w:lang w:val="en-US" w:eastAsia="zh-CN"/>
        </w:rPr>
      </w:pPr>
      <w:r>
        <w:rPr>
          <w:color w:val="auto"/>
          <w:sz w:val="24"/>
        </w:rPr>
        <w:t>Agenda Item:</w:t>
      </w:r>
      <w:r>
        <w:rPr>
          <w:color w:val="auto"/>
          <w:sz w:val="24"/>
        </w:rPr>
        <w:tab/>
      </w:r>
      <w:r>
        <w:rPr>
          <w:rFonts w:hint="eastAsia" w:eastAsia="宋体"/>
          <w:color w:val="auto"/>
          <w:sz w:val="24"/>
          <w:lang w:val="en-US" w:eastAsia="zh-CN"/>
        </w:rPr>
        <w:t>10.19.2.2</w:t>
      </w:r>
    </w:p>
    <w:p>
      <w:pPr>
        <w:pStyle w:val="14"/>
        <w:tabs>
          <w:tab w:val="left" w:pos="1800"/>
        </w:tabs>
        <w:snapToGrid w:val="0"/>
        <w:spacing w:after="240"/>
        <w:jc w:val="both"/>
        <w:rPr>
          <w:rFonts w:eastAsia="宋体"/>
          <w:color w:val="auto"/>
          <w:sz w:val="24"/>
          <w:lang w:val="en-US" w:eastAsia="zh-CN"/>
        </w:rPr>
      </w:pPr>
      <w:r>
        <w:rPr>
          <w:color w:val="auto"/>
          <w:sz w:val="24"/>
        </w:rPr>
        <w:t>Document for:</w:t>
      </w:r>
      <w:r>
        <w:rPr>
          <w:color w:val="auto"/>
          <w:sz w:val="24"/>
        </w:rPr>
        <w:tab/>
      </w:r>
      <w:r>
        <w:rPr>
          <w:rFonts w:hint="eastAsia" w:eastAsia="宋体"/>
          <w:color w:val="auto"/>
          <w:sz w:val="24"/>
          <w:lang w:val="en-US" w:eastAsia="zh-CN"/>
        </w:rPr>
        <w:t>Approval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color w:val="auto"/>
          <w:lang w:eastAsia="zh-CN"/>
        </w:rPr>
      </w:pPr>
      <w:r>
        <w:rPr>
          <w:rFonts w:eastAsia="宋体"/>
          <w:color w:val="auto"/>
          <w:lang w:eastAsia="zh-CN"/>
        </w:rPr>
        <w:t>Introduction</w:t>
      </w:r>
    </w:p>
    <w:p>
      <w:pPr>
        <w:pStyle w:val="3"/>
        <w:tabs>
          <w:tab w:val="left" w:pos="226"/>
          <w:tab w:val="left" w:pos="284"/>
          <w:tab w:val="left" w:pos="5103"/>
        </w:tabs>
        <w:snapToGrid w:val="0"/>
        <w:spacing w:before="156" w:beforeLines="50"/>
        <w:rPr>
          <w:rFonts w:hint="eastAsia" w:eastAsia="宋体"/>
          <w:color w:val="auto"/>
          <w:sz w:val="21"/>
          <w:szCs w:val="21"/>
          <w:lang w:val="en-US" w:eastAsia="zh-CN"/>
        </w:rPr>
      </w:pPr>
      <w:r>
        <w:rPr>
          <w:rFonts w:hint="default" w:eastAsia="宋体"/>
          <w:color w:val="auto"/>
          <w:sz w:val="21"/>
          <w:szCs w:val="21"/>
          <w:lang w:val="en-US" w:eastAsia="zh-CN"/>
        </w:rPr>
        <w:t xml:space="preserve">In </w:t>
      </w:r>
      <w:r>
        <w:rPr>
          <w:rFonts w:hint="eastAsia" w:eastAsia="宋体"/>
          <w:color w:val="auto"/>
          <w:sz w:val="21"/>
          <w:szCs w:val="21"/>
          <w:lang w:val="en-US" w:eastAsia="zh-CN"/>
        </w:rPr>
        <w:t>101 and 101bis e-meetings, two WF [1] [2]were approved, the agreements are summarized as follows.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rFonts w:hint="default" w:eastAsia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Impact for MPE[1]</w:t>
            </w:r>
          </w:p>
          <w:p>
            <w:pPr>
              <w:numPr>
                <w:ilvl w:val="0"/>
                <w:numId w:val="4"/>
              </w:numPr>
              <w:ind w:left="840" w:leftChars="0" w:hanging="420" w:firstLineChars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RAN4 will further check if the current definition/capability could implement the enhancement for a following case or not</w:t>
            </w:r>
          </w:p>
          <w:p>
            <w:pPr>
              <w:numPr>
                <w:ilvl w:val="0"/>
                <w:numId w:val="5"/>
              </w:numPr>
              <w:ind w:left="1260" w:leftChars="0" w:hanging="420" w:firstLineChars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Relation between each of the reported P-MPR values(N≤4) tied with the corresponding respective(M=1) SSBRI(s)/CRI(s) and Pcmax</w:t>
            </w:r>
          </w:p>
          <w:p>
            <w:pPr>
              <w:numPr>
                <w:ilvl w:val="0"/>
                <w:numId w:val="6"/>
              </w:numPr>
              <w:ind w:left="840" w:leftChars="0" w:hanging="420" w:firstLineChars="0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For the next meeting, companies are encouraged to provide views if changes are required considering RAN1 agreements and above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  <w:t xml:space="preserve"> </w:t>
            </w:r>
          </w:p>
          <w:p>
            <w:pPr>
              <w:numPr>
                <w:ilvl w:val="0"/>
                <w:numId w:val="0"/>
              </w:numPr>
              <w:rPr>
                <w:rFonts w:hint="eastAsia" w:eastAsia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olor w:val="auto"/>
                <w:sz w:val="21"/>
                <w:szCs w:val="21"/>
                <w:vertAlign w:val="baseline"/>
                <w:lang w:val="en-US" w:eastAsia="ja-JP"/>
              </w:rPr>
              <w:t>Impact of MPE e</w:t>
            </w:r>
            <w:r>
              <w:rPr>
                <w:rFonts w:hint="eastAsia" w:eastAsia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n</w:t>
            </w:r>
            <w:r>
              <w:rPr>
                <w:rFonts w:hint="eastAsia" w:eastAsia="宋体"/>
                <w:b/>
                <w:bCs/>
                <w:color w:val="auto"/>
                <w:sz w:val="21"/>
                <w:szCs w:val="21"/>
                <w:vertAlign w:val="baseline"/>
                <w:lang w:val="en-US" w:eastAsia="ja-JP"/>
              </w:rPr>
              <w:t>h</w:t>
            </w:r>
            <w:r>
              <w:rPr>
                <w:rFonts w:hint="eastAsia" w:eastAsia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an</w:t>
            </w:r>
            <w:r>
              <w:rPr>
                <w:rFonts w:hint="eastAsia" w:eastAsia="宋体"/>
                <w:b/>
                <w:bCs/>
                <w:color w:val="auto"/>
                <w:sz w:val="21"/>
                <w:szCs w:val="21"/>
                <w:vertAlign w:val="baseline"/>
                <w:lang w:val="en-US" w:eastAsia="ja-JP"/>
              </w:rPr>
              <w:t>cements</w:t>
            </w:r>
            <w:r>
              <w:rPr>
                <w:rFonts w:hint="eastAsia" w:eastAsia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[2]</w:t>
            </w:r>
          </w:p>
          <w:p>
            <w:pPr>
              <w:pStyle w:val="27"/>
              <w:numPr>
                <w:ilvl w:val="0"/>
                <w:numId w:val="7"/>
              </w:numPr>
              <w:ind w:firstLineChars="0"/>
              <w:jc w:val="left"/>
              <w:rPr>
                <w:rFonts w:hint="default" w:ascii="Times New Roman" w:hAnsi="Times New Roman" w:eastAsia="Times New Roman" w:cs="Times New Roman"/>
                <w:kern w:val="0"/>
                <w:sz w:val="20"/>
                <w:szCs w:val="24"/>
                <w:highlight w:val="none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0"/>
                <w:szCs w:val="24"/>
                <w:highlight w:val="none"/>
                <w:lang w:val="en-US" w:eastAsia="ko-KR" w:bidi="ar-SA"/>
              </w:rPr>
              <w:t>Agreements</w:t>
            </w:r>
          </w:p>
          <w:p>
            <w:pPr>
              <w:numPr>
                <w:ilvl w:val="0"/>
                <w:numId w:val="5"/>
              </w:numPr>
              <w:ind w:left="1260" w:leftChars="0" w:hanging="420" w:firstLineChars="0"/>
              <w:rPr>
                <w:rFonts w:hint="default"/>
                <w:highlight w:val="none"/>
                <w:lang w:val="en-US" w:eastAsia="ko-KR"/>
              </w:rPr>
            </w:pPr>
            <w:r>
              <w:rPr>
                <w:rFonts w:hint="default"/>
                <w:highlight w:val="none"/>
                <w:lang w:val="en-US" w:eastAsia="ko-KR"/>
              </w:rPr>
              <w:t>It will be further determined</w:t>
            </w:r>
          </w:p>
          <w:p>
            <w:pPr>
              <w:pStyle w:val="27"/>
              <w:numPr>
                <w:ilvl w:val="2"/>
                <w:numId w:val="8"/>
              </w:numPr>
              <w:ind w:left="1600" w:hanging="400" w:firstLineChars="0"/>
              <w:jc w:val="left"/>
              <w:rPr>
                <w:rFonts w:hint="default" w:ascii="Times New Roman" w:hAnsi="Times New Roman" w:eastAsia="Times New Roman" w:cs="Times New Roman"/>
                <w:kern w:val="0"/>
                <w:sz w:val="20"/>
                <w:szCs w:val="24"/>
                <w:highlight w:val="none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0"/>
                <w:szCs w:val="24"/>
                <w:highlight w:val="none"/>
                <w:lang w:val="en-US" w:eastAsia="ko-KR" w:bidi="ar-SA"/>
              </w:rPr>
              <w:t>whether to change current PCMAX definition based on the latest RAN1/2 agreement</w:t>
            </w:r>
          </w:p>
          <w:p>
            <w:pPr>
              <w:pStyle w:val="27"/>
              <w:numPr>
                <w:ilvl w:val="2"/>
                <w:numId w:val="8"/>
              </w:numPr>
              <w:ind w:left="1600" w:hanging="400" w:firstLineChars="0"/>
              <w:jc w:val="left"/>
              <w:rPr>
                <w:rFonts w:hint="default" w:eastAsia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0"/>
                <w:szCs w:val="24"/>
                <w:highlight w:val="none"/>
                <w:lang w:val="en-US" w:eastAsia="ko-KR" w:bidi="ar-SA"/>
              </w:rPr>
              <w:t>whether to update the P-MPR NOTE based on potential CR proposed to the next meeting.</w:t>
            </w:r>
          </w:p>
        </w:tc>
      </w:tr>
    </w:tbl>
    <w:p>
      <w:pPr>
        <w:pStyle w:val="3"/>
        <w:tabs>
          <w:tab w:val="left" w:pos="226"/>
          <w:tab w:val="left" w:pos="284"/>
          <w:tab w:val="left" w:pos="5103"/>
        </w:tabs>
        <w:snapToGrid w:val="0"/>
        <w:spacing w:before="156" w:beforeLines="50"/>
        <w:rPr>
          <w:rFonts w:hint="eastAsia" w:eastAsia="宋体"/>
          <w:color w:val="auto"/>
          <w:sz w:val="21"/>
          <w:szCs w:val="21"/>
          <w:lang w:val="en-US" w:eastAsia="zh-CN"/>
        </w:rPr>
      </w:pPr>
      <w:r>
        <w:rPr>
          <w:rFonts w:hint="eastAsia" w:eastAsia="宋体"/>
          <w:color w:val="auto"/>
          <w:sz w:val="21"/>
          <w:szCs w:val="21"/>
          <w:lang w:val="en-US" w:eastAsia="zh-CN"/>
        </w:rPr>
        <w:t>At the meanwhile, after the discussion during recent three RAN1 meetings, the details of MPE mitigation in RAN1 side have been determined, the following agreements have been approved in [3] [4] [5]: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</w:tcPr>
          <w:p>
            <w:pPr>
              <w:pStyle w:val="27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-SA"/>
              </w:rPr>
              <w:t>During RAN1#105:</w:t>
            </w:r>
          </w:p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cs="Times"/>
                <w:i w:val="0"/>
                <w:iCs/>
                <w:szCs w:val="22"/>
                <w:shd w:val="pct10" w:color="auto" w:fill="FFFFFF"/>
                <w:lang w:val="en-US" w:eastAsia="ko-KR"/>
              </w:rPr>
            </w:pPr>
            <w:r>
              <w:rPr>
                <w:rFonts w:cs="Times"/>
                <w:i w:val="0"/>
                <w:iCs/>
                <w:szCs w:val="22"/>
                <w:highlight w:val="green"/>
                <w:shd w:val="pct10" w:color="auto" w:fill="FFFFFF"/>
              </w:rPr>
              <w:t>Agreement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200" w:leftChars="10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On Rel.17 enhancements to facilitate MPE mitigation, in RAN1#105-e, further discuss to down-select at least one or combine from the following options: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0"/>
                <w:numId w:val="9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540" w:leftChars="0"/>
              <w:contextualSpacing w:val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 xml:space="preserve">Opt 1A. {Rel.16 P-MPR based (beam/panel-level)} + Virtual PHR or a modified version 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1"/>
                <w:numId w:val="9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1260" w:leftChars="0"/>
              <w:contextualSpacing w:val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The modified version may be associated with each activated UL TCI or, if applicable, joint TCI, or associated with each of the reported SSBRI(s)/CRI(s) and/or panel indication (if configured) from candidate pool, if reported.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1"/>
                <w:numId w:val="9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1260" w:leftChars="0"/>
              <w:contextualSpacing w:val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The reporting reuses the event-driven mechanisms from the Rel-16 P-MPR reporting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1"/>
                <w:numId w:val="9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1260" w:leftChars="0"/>
              <w:contextualSpacing w:val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FFS: how to determine the virtual PHR or the modified version.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0"/>
                <w:numId w:val="9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540" w:leftChars="0"/>
              <w:contextualSpacing w:val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Opt 1D. {Rel.16 P-MPR based (beam/panel-level)}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1"/>
                <w:numId w:val="9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1260" w:leftChars="0"/>
              <w:contextualSpacing w:val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The reporting reuses the event-driven mechanisms from the Rel-16 P-MPR reporting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0"/>
                <w:numId w:val="9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540" w:leftChars="0"/>
              <w:contextualSpacing w:val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Opt 2A. {SSBRI(s)/CRI(s) and/or panel indication} + L1-RSRP [L1-SINR] or a modified version that accounts for MPE effect associated with each of the reported SSBRI(s)/CRI(s) and/or panel indication (if configured)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1"/>
                <w:numId w:val="1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1680" w:leftChars="840"/>
              <w:contextualSpacing w:val="0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FFS: How panel-level L1-RSRP [L1-SINR] is reported if L1-RSRP [L1-SINR] is associated with panel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1"/>
                <w:numId w:val="1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1680" w:leftChars="840"/>
              <w:contextualSpacing w:val="0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FFS: Whether/how to account for MPE effect in L1-RSRP [L1-SINR] report, e.g. by using scaled L1-RSRP [L1-SINR]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1"/>
                <w:numId w:val="9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1260" w:leftChars="0"/>
              <w:contextualSpacing w:val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FFS: Whether/how to enhance existing beam reporting format to support Option 2A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1"/>
                <w:numId w:val="9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1260" w:leftChars="0"/>
              <w:contextualSpacing w:val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FFS: When multiple SSBRIs/CRIs and their corresponding metrics are reported in the same reporting instance, whether to allow mixture between the SSBRI(s)/CRI(s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TW" w:bidi="ar-SA"/>
              </w:rPr>
              <w:t>)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 xml:space="preserve">) intended for MPE mitigation and for DL beam reporting 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1"/>
                <w:numId w:val="9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1260" w:leftChars="0"/>
              <w:contextualSpacing w:val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FFS: Whether the reporting is UE-initiated (event-driven) and/or NW-initiated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1"/>
                <w:numId w:val="9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1260" w:leftChars="0"/>
              <w:contextualSpacing w:val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FFS: If Opt2A is selected and there is no consensus on a modified L1-RSRP definition, at least the Rel-15 L1-RSRP definition is reused and virtual PHR may be added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600" w:leftChars="30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 xml:space="preserve">FFS: If gNB acknowledges MPE report from UE for UE-initiated (event-driven) reporting 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600" w:leftChars="30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FFS: If differential report is supported when multiple UL beams are reported in the same report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600" w:leftChars="300"/>
              <w:jc w:val="both"/>
              <w:textAlignment w:val="auto"/>
              <w:rPr>
                <w:rFonts w:hint="default" w:cs="Times"/>
                <w:i/>
                <w:iCs w:val="0"/>
                <w:sz w:val="18"/>
                <w:szCs w:val="18"/>
                <w:shd w:val="clear" w:color="auto" w:fill="auto"/>
                <w:lang w:val="en-US" w:eastAsia="zh-CN"/>
              </w:rPr>
            </w:pPr>
          </w:p>
          <w:p>
            <w:pPr>
              <w:pStyle w:val="27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-SA"/>
              </w:rPr>
              <w:t>During RAN1#106:</w:t>
            </w:r>
          </w:p>
          <w:p>
            <w:pPr>
              <w:pStyle w:val="27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firstLine="0" w:firstLineChars="0"/>
              <w:jc w:val="both"/>
              <w:textAlignment w:val="auto"/>
              <w:rPr>
                <w:rFonts w:ascii="Times New Roman" w:hAnsi="Times New Roman" w:eastAsia="Times New Roman" w:cs="Times"/>
                <w:i w:val="0"/>
                <w:iCs/>
                <w:kern w:val="0"/>
                <w:sz w:val="20"/>
                <w:szCs w:val="22"/>
                <w:highlight w:val="green"/>
                <w:shd w:val="pct10" w:color="auto" w:fill="FFFFFF"/>
                <w:lang w:val="en-US" w:eastAsia="en-US" w:bidi="ar-SA"/>
              </w:rPr>
            </w:pPr>
            <w:r>
              <w:rPr>
                <w:rFonts w:ascii="Times New Roman" w:hAnsi="Times New Roman" w:eastAsia="Times New Roman" w:cs="Times"/>
                <w:i w:val="0"/>
                <w:iCs/>
                <w:kern w:val="0"/>
                <w:sz w:val="20"/>
                <w:szCs w:val="22"/>
                <w:highlight w:val="green"/>
                <w:shd w:val="pct10" w:color="auto" w:fill="FFFFFF"/>
                <w:lang w:val="en-US" w:eastAsia="en-US" w:bidi="ar-SA"/>
              </w:rPr>
              <w:t>Agreement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Chars="10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On Rel.17 enhancements to facilitate MPE mitigation, support the following enhancement on the Rel-16 event-triggered P-MPR-based reporting (included in the PHR report when a threshold is reached, reported via MAC-CE):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0"/>
                <w:numId w:val="11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Chars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 xml:space="preserve">In addition to the existing field in the PHR MAC-CE, N≥1 P-MPR values can be reported 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1"/>
                <w:numId w:val="11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Chars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The N P-MPR values are reported together with the following: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2"/>
                <w:numId w:val="11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Chars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(Working Assumption) For each P-MPR value, up to M SSBRI(s)/CRI(s), where the SSBRI(s)/CRI(s) is selected by the UE from a candidate SSB/CSI-RS resource pool (FFS: how to perform the selection)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3"/>
                <w:numId w:val="11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Chars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FFS: The supported value(s) of M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0"/>
                <w:numId w:val="11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Chars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FFS: Whether N represents the number of selected beams or the number of panels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0"/>
                <w:numId w:val="11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Chars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FFS: Supported values of N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0"/>
                <w:numId w:val="11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Chars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 xml:space="preserve">FFS: Whether beam-specific and/or panel-specific PHR is also reported </w:t>
            </w:r>
          </w:p>
          <w:p>
            <w:pPr>
              <w:pStyle w:val="27"/>
              <w:keepNext w:val="0"/>
              <w:keepLines w:val="0"/>
              <w:pageBreakBefore w:val="0"/>
              <w:numPr>
                <w:ilvl w:val="0"/>
                <w:numId w:val="11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Chars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FFS: Additional reporting quantities, e.g. SSBRI/CRI, MPR+DL RSRP, or modified virtual PHR</w:t>
            </w:r>
          </w:p>
          <w:p>
            <w:pPr>
              <w:pStyle w:val="27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  <w:t>FFS: additional signaling (e.g. CSI triggering) from the NW</w:t>
            </w:r>
          </w:p>
          <w:p>
            <w:pPr>
              <w:pStyle w:val="27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firstLine="0" w:firstLineChars="0"/>
              <w:jc w:val="both"/>
              <w:textAlignment w:val="auto"/>
              <w:rPr>
                <w:rFonts w:hint="eastAsia"/>
                <w:i/>
                <w:iCs/>
                <w:sz w:val="18"/>
                <w:szCs w:val="18"/>
                <w:lang w:val="en-US" w:eastAsia="zh-CN"/>
              </w:rPr>
            </w:pPr>
          </w:p>
          <w:p>
            <w:pPr>
              <w:pStyle w:val="27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 w:bidi="ar-SA"/>
              </w:rPr>
              <w:t>During RAN1#106bis:</w:t>
            </w:r>
          </w:p>
          <w:p>
            <w:pPr>
              <w:pStyle w:val="27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firstLine="0" w:firstLineChars="0"/>
              <w:jc w:val="both"/>
              <w:textAlignment w:val="auto"/>
              <w:rPr>
                <w:rFonts w:ascii="Times New Roman" w:hAnsi="Times New Roman" w:eastAsia="Times New Roman" w:cs="Times"/>
                <w:i w:val="0"/>
                <w:iCs/>
                <w:kern w:val="0"/>
                <w:sz w:val="20"/>
                <w:szCs w:val="22"/>
                <w:highlight w:val="green"/>
                <w:shd w:val="pct10" w:color="auto" w:fill="FFFFFF"/>
                <w:lang w:val="en-US" w:eastAsia="en-US" w:bidi="ar-SA"/>
              </w:rPr>
            </w:pPr>
            <w:r>
              <w:rPr>
                <w:rFonts w:ascii="Times New Roman" w:hAnsi="Times New Roman" w:eastAsia="Times New Roman" w:cs="Times"/>
                <w:i w:val="0"/>
                <w:iCs/>
                <w:kern w:val="0"/>
                <w:sz w:val="20"/>
                <w:szCs w:val="22"/>
                <w:highlight w:val="green"/>
                <w:shd w:val="pct10" w:color="auto" w:fill="FFFFFF"/>
                <w:lang w:val="en-US" w:eastAsia="en-US" w:bidi="ar-SA"/>
              </w:rPr>
              <w:t>Agreement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Chars="100"/>
              <w:jc w:val="both"/>
              <w:textAlignment w:val="auto"/>
              <w:rPr>
                <w:rFonts w:cs="Times"/>
                <w:lang w:eastAsia="zh-CN"/>
              </w:rPr>
            </w:pPr>
            <w:r>
              <w:rPr>
                <w:rFonts w:cs="Times"/>
                <w:lang w:eastAsia="zh-CN"/>
              </w:rPr>
              <w:t>On Rel.17 enhancements to facilitate MPE mitigation, support N=1, 2, 3, and 4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2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eastAsia="Times New Roman" w:cs="Times"/>
                <w:lang w:eastAsia="zh-CN"/>
              </w:rPr>
            </w:pPr>
            <w:r>
              <w:rPr>
                <w:rFonts w:eastAsia="Times New Roman" w:cs="Times"/>
                <w:lang w:eastAsia="zh-CN"/>
              </w:rPr>
              <w:t>N is defined as the number of reported measurements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2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eastAsia="Times New Roman" w:cs="Times"/>
                <w:lang w:eastAsia="zh-CN"/>
              </w:rPr>
            </w:pPr>
            <w:r>
              <w:rPr>
                <w:rFonts w:eastAsia="Times New Roman" w:cs="Times"/>
                <w:lang w:eastAsia="zh-CN"/>
              </w:rPr>
              <w:t>UE reports supported largest N value as a UE capability</w:t>
            </w:r>
          </w:p>
          <w:p>
            <w:pPr>
              <w:pStyle w:val="27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firstLine="0" w:firstLineChars="0"/>
              <w:jc w:val="both"/>
              <w:textAlignment w:val="auto"/>
              <w:rPr>
                <w:rFonts w:ascii="Times New Roman" w:hAnsi="Times New Roman" w:eastAsia="Times New Roman" w:cs="Times"/>
                <w:i w:val="0"/>
                <w:iCs/>
                <w:kern w:val="0"/>
                <w:sz w:val="20"/>
                <w:szCs w:val="22"/>
                <w:highlight w:val="green"/>
                <w:shd w:val="pct10" w:color="auto" w:fill="FFFFFF"/>
                <w:lang w:val="en-US" w:eastAsia="en-US" w:bidi="ar-SA"/>
              </w:rPr>
            </w:pPr>
            <w:r>
              <w:rPr>
                <w:rFonts w:ascii="Times New Roman" w:hAnsi="Times New Roman" w:eastAsia="Times New Roman" w:cs="Times"/>
                <w:i w:val="0"/>
                <w:iCs/>
                <w:kern w:val="0"/>
                <w:sz w:val="20"/>
                <w:szCs w:val="22"/>
                <w:highlight w:val="green"/>
                <w:shd w:val="pct10" w:color="auto" w:fill="FFFFFF"/>
                <w:lang w:val="en-US" w:eastAsia="en-US" w:bidi="ar-SA"/>
              </w:rPr>
              <w:t>Agreement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Chars="100"/>
              <w:textAlignment w:val="auto"/>
              <w:rPr>
                <w:rFonts w:ascii="Calibri" w:hAnsi="Calibri" w:cs="Calibri"/>
                <w:color w:val="1F497D"/>
                <w:szCs w:val="20"/>
              </w:rPr>
            </w:pPr>
            <w:r>
              <w:rPr>
                <w:szCs w:val="20"/>
                <w:lang w:eastAsia="zh-CN"/>
              </w:rPr>
              <w:t xml:space="preserve">On Rel.17 enhancements to facilitate MPE mitigation, confirm the following working assumption (in the midst of the previous agreement) as an agreement with the following refinement (highlighted in </w:t>
            </w:r>
            <w:r>
              <w:rPr>
                <w:color w:val="FF0000"/>
                <w:szCs w:val="20"/>
                <w:lang w:eastAsia="zh-CN"/>
              </w:rPr>
              <w:t>red</w:t>
            </w:r>
            <w:r>
              <w:rPr>
                <w:szCs w:val="20"/>
                <w:lang w:eastAsia="zh-CN"/>
              </w:rPr>
              <w:t>):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ind w:leftChars="200"/>
              <w:textAlignment w:val="auto"/>
              <w:rPr>
                <w:szCs w:val="20"/>
              </w:rPr>
            </w:pPr>
            <w:r>
              <w:rPr>
                <w:szCs w:val="20"/>
              </w:rPr>
              <w:t>On Rel.17 enhancements to facilitate MPE mitigation, support the following enhancement on the Rel-16 event-triggered P-MPR-based reporting (included in the PHR report when a threshold is reached, reported via MAC-CE):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1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 xml:space="preserve">In addition to the existing field in the PHR MAC-CE, N≥1 P-MPR values can be reported </w:t>
            </w:r>
          </w:p>
          <w:p>
            <w:pPr>
              <w:keepNext w:val="0"/>
              <w:keepLines w:val="0"/>
              <w:pageBreakBefore w:val="0"/>
              <w:numPr>
                <w:ilvl w:val="1"/>
                <w:numId w:val="11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 xml:space="preserve">The N P-MPR values are reported together with the following: </w:t>
            </w:r>
          </w:p>
          <w:p>
            <w:pPr>
              <w:keepNext w:val="0"/>
              <w:keepLines w:val="0"/>
              <w:pageBreakBefore w:val="0"/>
              <w:numPr>
                <w:ilvl w:val="2"/>
                <w:numId w:val="11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trike/>
                <w:color w:val="FF0000"/>
                <w:szCs w:val="20"/>
              </w:rPr>
              <w:t>(Working Assumption)</w:t>
            </w:r>
            <w:r>
              <w:rPr>
                <w:rFonts w:eastAsia="Times New Roman"/>
                <w:szCs w:val="20"/>
              </w:rPr>
              <w:t xml:space="preserve"> For each P-MPR value, up to M SSBRI(s)/CRI(s), where the SSBRI(s)/CRI(s) is selected by the UE from a candidate SSB/CSI-RS resource pool (FFS: how to perform the selection) </w:t>
            </w:r>
          </w:p>
          <w:p>
            <w:pPr>
              <w:keepNext w:val="0"/>
              <w:keepLines w:val="0"/>
              <w:pageBreakBefore w:val="0"/>
              <w:numPr>
                <w:ilvl w:val="3"/>
                <w:numId w:val="11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Times New Roman"/>
                <w:color w:val="FF0000"/>
                <w:szCs w:val="20"/>
              </w:rPr>
            </w:pPr>
            <w:r>
              <w:rPr>
                <w:rFonts w:eastAsia="Times New Roman"/>
                <w:color w:val="FF0000"/>
                <w:szCs w:val="20"/>
              </w:rPr>
              <w:t>Support M=1</w:t>
            </w:r>
          </w:p>
          <w:p>
            <w:pPr>
              <w:keepNext w:val="0"/>
              <w:keepLines w:val="0"/>
              <w:pageBreakBefore w:val="0"/>
              <w:numPr>
                <w:ilvl w:val="3"/>
                <w:numId w:val="11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Times New Roman"/>
                <w:strike/>
                <w:color w:val="FF0000"/>
                <w:szCs w:val="20"/>
              </w:rPr>
            </w:pPr>
            <w:r>
              <w:rPr>
                <w:rFonts w:eastAsia="Times New Roman"/>
                <w:strike/>
                <w:color w:val="FF0000"/>
                <w:szCs w:val="20"/>
              </w:rPr>
              <w:t>FFS: The supported value(s) of M</w:t>
            </w:r>
            <w:r>
              <w:rPr>
                <w:rFonts w:eastAsia="Times New Roman"/>
                <w:iCs/>
                <w:strike/>
                <w:color w:val="FF0000"/>
                <w:szCs w:val="20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1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Times New Roman"/>
                <w:strike/>
                <w:color w:val="FF0000"/>
                <w:szCs w:val="20"/>
              </w:rPr>
            </w:pPr>
            <w:r>
              <w:rPr>
                <w:rFonts w:eastAsia="Times New Roman"/>
                <w:strike/>
                <w:color w:val="FF0000"/>
                <w:szCs w:val="20"/>
              </w:rPr>
              <w:t>FFS: Additional reporting quantities, e.g. SSBRI/CRI, MPR+DL RSRP, or modified virtual PHR</w:t>
            </w:r>
          </w:p>
          <w:p>
            <w:pPr>
              <w:pStyle w:val="3"/>
              <w:keepNext w:val="0"/>
              <w:keepLines w:val="0"/>
              <w:pageBreakBefore w:val="0"/>
              <w:tabs>
                <w:tab w:val="left" w:pos="226"/>
                <w:tab w:val="left" w:pos="284"/>
                <w:tab w:val="left" w:pos="5103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eastAsia" w:eastAsia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eastAsia="Times New Roman"/>
                <w:strike/>
                <w:color w:val="FF0000"/>
                <w:szCs w:val="20"/>
              </w:rPr>
              <w:t>FFS: additional signaling (e.g. CSI triggering) from the NW</w:t>
            </w:r>
          </w:p>
        </w:tc>
      </w:tr>
    </w:tbl>
    <w:p>
      <w:pPr>
        <w:pStyle w:val="3"/>
        <w:tabs>
          <w:tab w:val="left" w:pos="226"/>
          <w:tab w:val="left" w:pos="284"/>
          <w:tab w:val="left" w:pos="5103"/>
        </w:tabs>
        <w:snapToGrid w:val="0"/>
        <w:spacing w:before="156" w:beforeLines="50"/>
        <w:rPr>
          <w:rFonts w:hint="default" w:eastAsia="宋体"/>
          <w:color w:val="auto"/>
          <w:sz w:val="21"/>
          <w:szCs w:val="21"/>
          <w:lang w:val="en-US" w:eastAsia="zh-CN"/>
        </w:rPr>
      </w:pPr>
      <w:r>
        <w:rPr>
          <w:rFonts w:hint="eastAsia" w:eastAsia="宋体"/>
          <w:color w:val="auto"/>
          <w:sz w:val="21"/>
          <w:szCs w:val="21"/>
          <w:lang w:val="en-US" w:eastAsia="zh-CN"/>
        </w:rPr>
        <w:t>Based on the conclusions both in RAN4 meetings and RAN1 meetings, we provide our further analysis on the RAN4 impact of the MPE mitigation considering the RAN1 progress.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Discussion</w:t>
      </w:r>
    </w:p>
    <w:p>
      <w:pPr>
        <w:pStyle w:val="3"/>
        <w:rPr>
          <w:rFonts w:hint="eastAsia" w:eastAsia="宋体"/>
          <w:color w:val="auto"/>
          <w:lang w:val="en-US" w:eastAsia="zh-CN"/>
        </w:rPr>
      </w:pPr>
      <w:r>
        <w:rPr>
          <w:rFonts w:hint="eastAsia" w:eastAsia="宋体"/>
          <w:color w:val="auto"/>
          <w:lang w:val="en-US" w:eastAsia="zh-CN"/>
        </w:rPr>
        <w:t xml:space="preserve">In order to facilitate MPE mitigation, In Rel-15, one UE capability </w:t>
      </w:r>
      <w:r>
        <w:rPr>
          <w:rFonts w:hint="eastAsia"/>
          <w:i/>
          <w:iCs/>
          <w:lang w:val="en-US" w:eastAsia="zh-CN"/>
        </w:rPr>
        <w:t xml:space="preserve">maxUplinkDutyCycle-FR2 </w:t>
      </w:r>
      <w:r>
        <w:rPr>
          <w:rFonts w:hint="eastAsia" w:eastAsia="宋体"/>
          <w:color w:val="auto"/>
          <w:lang w:val="en-US" w:eastAsia="zh-CN"/>
        </w:rPr>
        <w:t xml:space="preserve">was introduced. UE reports this capability to assist the NW in uplink scheduling so as to ensure that the MPE requirements are met. Candidate values of </w:t>
      </w:r>
      <w:r>
        <w:rPr>
          <w:rFonts w:hint="eastAsia"/>
          <w:i/>
          <w:iCs/>
          <w:lang w:val="en-US" w:eastAsia="zh-CN"/>
        </w:rPr>
        <w:t>maxUplinkDutyCycle-FR2</w:t>
      </w:r>
      <w:r>
        <w:rPr>
          <w:rFonts w:hint="eastAsia" w:eastAsia="宋体"/>
          <w:color w:val="auto"/>
          <w:lang w:val="en-US" w:eastAsia="zh-CN"/>
        </w:rPr>
        <w:t xml:space="preserve"> include: 15%, 20%, 25%, 30%, 40% and 50%. UE informs the NW of the candidate value supported by itself, but the capability reported by UE does not restrict the uplink scheduling of the NW, just a recommendation. Suppose the UE reports that its capability is 15%, but the actual duty cycle decided by the NW scheduling is greater than 15%, then the UE has to perform power reduction, i.e. applying the P-MPR to ensure MPE regulation requirements.</w:t>
      </w:r>
    </w:p>
    <w:p>
      <w:pPr>
        <w:pStyle w:val="3"/>
        <w:rPr>
          <w:rFonts w:hint="eastAsia" w:eastAsia="宋体"/>
          <w:color w:val="auto"/>
          <w:lang w:val="en-US" w:eastAsia="zh-CN"/>
        </w:rPr>
      </w:pPr>
      <w:r>
        <w:rPr>
          <w:rFonts w:hint="eastAsia" w:eastAsia="宋体"/>
          <w:color w:val="auto"/>
          <w:lang w:val="en-US" w:eastAsia="zh-CN"/>
        </w:rPr>
        <w:t>Once UE performs power reduction excessively, radio link failure will occurs. Therefore, the MPE mitigation is still be optimized during Rel-16.</w:t>
      </w:r>
    </w:p>
    <w:p>
      <w:pPr>
        <w:pStyle w:val="3"/>
        <w:rPr>
          <w:rFonts w:hint="default" w:eastAsia="宋体"/>
          <w:color w:val="auto"/>
          <w:lang w:val="en-US" w:eastAsia="zh-CN"/>
        </w:rPr>
      </w:pPr>
      <w:r>
        <w:rPr>
          <w:rFonts w:hint="eastAsia" w:eastAsia="宋体"/>
          <w:color w:val="auto"/>
          <w:lang w:val="en-US" w:eastAsia="zh-CN"/>
        </w:rPr>
        <w:t>In Rel-16, several solutions such as dynamic duty cycle, P-MPR reporting were discussed. Finally the solution of P-MPR reporting was standardized, the P-MPR report was added into legacy PHR reporting using the reserved bits of PHR MAC CE. The similar quantization method like PHR was used for P-MPR report, the following table shows the quantized P-MPR values in [6].</w:t>
      </w:r>
    </w:p>
    <w:p>
      <w:pPr>
        <w:pStyle w:val="3"/>
        <w:jc w:val="center"/>
        <w:rPr>
          <w:lang w:val="en-US" w:eastAsia="zh-CN"/>
        </w:rPr>
      </w:pPr>
      <w:r>
        <w:rPr>
          <w:lang w:val="en-US" w:eastAsia="zh-CN"/>
        </w:rPr>
        <w:drawing>
          <wp:inline distT="0" distB="0" distL="114300" distR="114300">
            <wp:extent cx="4984750" cy="853440"/>
            <wp:effectExtent l="0" t="0" r="13970" b="0"/>
            <wp:docPr id="3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84750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jc w:val="both"/>
        <w:rPr>
          <w:rFonts w:hint="eastAsia" w:eastAsia="宋体"/>
          <w:color w:val="auto"/>
          <w:lang w:val="en-US" w:eastAsia="zh-CN"/>
        </w:rPr>
      </w:pPr>
      <w:r>
        <w:rPr>
          <w:rFonts w:hint="eastAsia" w:eastAsia="宋体"/>
          <w:color w:val="auto"/>
          <w:lang w:val="en-US" w:eastAsia="zh-CN"/>
        </w:rPr>
        <w:t xml:space="preserve">For multi-cell PHR report, the triggered PHR report can be an actual value or a virtual value, for the case of virtual value, since the PHR value itself is virtual, not deferring to any actual UL transmission, then the P-MPR report is unnecessary, Pcmax report is also unnecessary. So for the case of virtual PHR, UE do not need to report P-MPR even the MPE event triggered. Based on the analysis, the reported P-MPR value corresponds to an actual UL transmission. For FR2, each actual UL transmission should be transmitted using the indicated TCI state by NW, so we can believe the reported P-MPR only matches the UL beam currently used by UE for the actual UL transmission.   </w:t>
      </w:r>
    </w:p>
    <w:p>
      <w:pPr>
        <w:pStyle w:val="3"/>
        <w:jc w:val="both"/>
        <w:rPr>
          <w:rFonts w:hint="eastAsia" w:eastAsia="宋体" w:cs="Times New Roman"/>
          <w:lang w:val="en-US" w:eastAsia="zh-CN"/>
        </w:rPr>
      </w:pPr>
      <w:r>
        <w:rPr>
          <w:rFonts w:hint="eastAsia" w:eastAsia="宋体"/>
          <w:color w:val="auto"/>
          <w:lang w:val="en-US" w:eastAsia="zh-CN"/>
        </w:rPr>
        <w:t>Based on conclusion in RAN1, only P-MPR report enhancement approved. For Pcmax and PHR reports, without any enhancements, so such two reports still re-use legacy Rel-16. We believe such decision is reasonable, UE only need to determine the actual UL transmission</w:t>
      </w:r>
      <w:r>
        <w:rPr>
          <w:rFonts w:hint="default" w:eastAsia="宋体"/>
          <w:color w:val="auto"/>
          <w:lang w:val="en-US" w:eastAsia="zh-CN"/>
        </w:rPr>
        <w:t>’</w:t>
      </w:r>
      <w:r>
        <w:rPr>
          <w:rFonts w:hint="eastAsia" w:eastAsia="宋体"/>
          <w:color w:val="auto"/>
          <w:lang w:val="en-US" w:eastAsia="zh-CN"/>
        </w:rPr>
        <w:t xml:space="preserve">s Pcmax and PHR. For the beam directions without UL transmission, the corresponding P-MPR can be predicted through </w:t>
      </w:r>
      <w:r>
        <w:rPr>
          <w:rFonts w:hint="eastAsia" w:ascii="Times New Roman" w:hAnsi="Times New Roman" w:eastAsia="宋体" w:cs="Times New Roman"/>
          <w:lang w:val="en-US" w:eastAsia="zh-CN"/>
        </w:rPr>
        <w:t>P</w:t>
      </w:r>
      <w:r>
        <w:rPr>
          <w:rFonts w:hint="eastAsia" w:ascii="Times New Roman" w:hAnsi="Times New Roman" w:eastAsia="宋体" w:cs="Times New Roman"/>
          <w:lang w:val="en-US" w:eastAsia="ja-JP"/>
        </w:rPr>
        <w:t>roximity detection</w:t>
      </w:r>
      <w:r>
        <w:rPr>
          <w:rFonts w:hint="eastAsia" w:eastAsia="宋体" w:cs="Times New Roman"/>
          <w:lang w:val="en-US" w:eastAsia="zh-CN"/>
        </w:rPr>
        <w:t>.</w:t>
      </w:r>
    </w:p>
    <w:p>
      <w:pPr>
        <w:pStyle w:val="3"/>
        <w:jc w:val="both"/>
        <w:rPr>
          <w:rFonts w:hint="default" w:eastAsia="宋体" w:cs="Times New Roman"/>
          <w:lang w:val="en-US" w:eastAsia="zh-CN"/>
        </w:rPr>
      </w:pPr>
      <w:r>
        <w:rPr>
          <w:rFonts w:hint="eastAsia" w:eastAsia="宋体" w:cs="Times New Roman"/>
          <w:lang w:val="en-US" w:eastAsia="zh-CN"/>
        </w:rPr>
        <w:t xml:space="preserve">Some company concerns that the relation between each of the reported P-MPR values(up to four) tied with the corresponding respective(M=1) SSBRI(s)/CRI(s) and Pcmax. We do not think so. For the relation between each reported P-MPR and the conrresponding respective SSBRI/CRI, we think RAN1 would give the </w:t>
      </w:r>
      <w:r>
        <w:rPr>
          <w:rFonts w:hint="eastAsia" w:cs="Times New Roman"/>
          <w:lang w:val="en-US" w:eastAsia="zh-CN"/>
        </w:rPr>
        <w:t xml:space="preserve">concrete </w:t>
      </w:r>
      <w:r>
        <w:rPr>
          <w:rFonts w:hint="eastAsia" w:eastAsia="宋体" w:cs="Times New Roman"/>
          <w:lang w:val="en-US" w:eastAsia="zh-CN"/>
        </w:rPr>
        <w:t>solution and thay has attached some conclusion. So RAN4 do not consider such relation. For the relation between the reported P-MPR and Pcmax, since no enhancement for Pcmax, so as same as legacy Rel-16 Pcmax report, the reported Pcmax corresponds to the actual UL transmission and the actual beam direction. Therefore, we do not need to provide any additional relation clarification between the reported P-MPRs and Pcmax.</w:t>
      </w:r>
    </w:p>
    <w:p>
      <w:pPr>
        <w:pStyle w:val="3"/>
        <w:jc w:val="both"/>
        <w:rPr>
          <w:rFonts w:hint="default" w:eastAsia="宋体" w:cs="Times New Roman"/>
          <w:b/>
          <w:bCs/>
          <w:color w:val="auto"/>
          <w:sz w:val="21"/>
          <w:szCs w:val="21"/>
          <w:highlight w:val="none"/>
          <w:lang w:val="en-US" w:eastAsia="zh-CN" w:bidi="ar-SA"/>
        </w:rPr>
      </w:pPr>
      <w:r>
        <w:rPr>
          <w:rFonts w:hint="eastAsia" w:eastAsia="宋体" w:cs="Times New Roman"/>
          <w:b/>
          <w:bCs/>
          <w:color w:val="auto"/>
          <w:sz w:val="21"/>
          <w:szCs w:val="21"/>
          <w:highlight w:val="none"/>
          <w:lang w:val="en-US" w:eastAsia="zh-CN" w:bidi="ar-SA"/>
        </w:rPr>
        <w:t xml:space="preserve">Observation 1: Until now, without any enhancement about Pcmax approved in RAN1, so the meaning of Pcmax is still same as in legacy Rel-16. </w:t>
      </w:r>
    </w:p>
    <w:p>
      <w:pPr>
        <w:pStyle w:val="3"/>
        <w:jc w:val="both"/>
        <w:rPr>
          <w:rFonts w:hint="default" w:eastAsia="宋体" w:cs="Times New Roman"/>
          <w:b/>
          <w:bCs/>
          <w:color w:val="auto"/>
          <w:sz w:val="21"/>
          <w:szCs w:val="21"/>
          <w:highlight w:val="none"/>
          <w:lang w:val="en-US" w:eastAsia="zh-CN" w:bidi="ar-SA"/>
        </w:rPr>
      </w:pPr>
      <w:bookmarkStart w:id="1" w:name="OLE_LINK1"/>
      <w:r>
        <w:rPr>
          <w:rFonts w:hint="eastAsia" w:eastAsia="宋体" w:cs="Times New Roman"/>
          <w:b/>
          <w:bCs/>
          <w:color w:val="auto"/>
          <w:sz w:val="21"/>
          <w:szCs w:val="21"/>
          <w:highlight w:val="none"/>
          <w:lang w:val="en-US" w:eastAsia="zh-CN" w:bidi="ar-SA"/>
        </w:rPr>
        <w:t xml:space="preserve">Proposal 1: </w:t>
      </w:r>
      <w:bookmarkEnd w:id="1"/>
      <w:r>
        <w:rPr>
          <w:rFonts w:hint="eastAsia" w:eastAsia="宋体" w:cs="Times New Roman"/>
          <w:b/>
          <w:bCs/>
          <w:color w:val="auto"/>
          <w:sz w:val="21"/>
          <w:szCs w:val="21"/>
          <w:highlight w:val="none"/>
          <w:lang w:val="en-US" w:eastAsia="zh-CN" w:bidi="ar-SA"/>
        </w:rPr>
        <w:t>From RAN4</w:t>
      </w:r>
      <w:r>
        <w:rPr>
          <w:rFonts w:hint="default" w:eastAsia="宋体" w:cs="Times New Roman"/>
          <w:b/>
          <w:bCs/>
          <w:color w:val="auto"/>
          <w:sz w:val="21"/>
          <w:szCs w:val="21"/>
          <w:highlight w:val="none"/>
          <w:lang w:val="en-US" w:eastAsia="zh-CN" w:bidi="ar-SA"/>
        </w:rPr>
        <w:t>’</w:t>
      </w:r>
      <w:r>
        <w:rPr>
          <w:rFonts w:hint="eastAsia" w:eastAsia="宋体" w:cs="Times New Roman"/>
          <w:b/>
          <w:bCs/>
          <w:color w:val="auto"/>
          <w:sz w:val="21"/>
          <w:szCs w:val="21"/>
          <w:highlight w:val="none"/>
          <w:lang w:val="en-US" w:eastAsia="zh-CN" w:bidi="ar-SA"/>
        </w:rPr>
        <w:t>s perspective, not any requirement enhancement or additional relation clarification is needed for Pcmax and P-MPR.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color w:val="auto"/>
          <w:lang w:val="en-US" w:eastAsia="zh-CN"/>
        </w:rPr>
      </w:pPr>
      <w:r>
        <w:rPr>
          <w:rFonts w:eastAsia="宋体"/>
          <w:color w:val="auto"/>
          <w:lang w:val="en-US" w:eastAsia="zh-CN"/>
        </w:rPr>
        <w:t>Conclusion</w:t>
      </w:r>
    </w:p>
    <w:p>
      <w:pPr>
        <w:pStyle w:val="3"/>
        <w:tabs>
          <w:tab w:val="left" w:pos="226"/>
          <w:tab w:val="left" w:pos="284"/>
          <w:tab w:val="left" w:pos="5103"/>
        </w:tabs>
        <w:snapToGrid w:val="0"/>
        <w:rPr>
          <w:rFonts w:eastAsia="宋体"/>
          <w:bCs/>
          <w:color w:val="auto"/>
          <w:sz w:val="21"/>
          <w:szCs w:val="21"/>
          <w:lang w:val="en-GB" w:eastAsia="zh-CN"/>
        </w:rPr>
      </w:pPr>
      <w:r>
        <w:rPr>
          <w:rFonts w:eastAsia="宋体"/>
          <w:bCs/>
          <w:color w:val="auto"/>
          <w:sz w:val="21"/>
          <w:szCs w:val="21"/>
          <w:lang w:val="en-GB" w:eastAsia="zh-CN"/>
        </w:rPr>
        <w:t xml:space="preserve">In this </w:t>
      </w:r>
      <w:r>
        <w:rPr>
          <w:rFonts w:hint="eastAsia" w:eastAsia="宋体"/>
          <w:bCs/>
          <w:color w:val="auto"/>
          <w:sz w:val="21"/>
          <w:szCs w:val="21"/>
          <w:lang w:val="en-US" w:eastAsia="zh-CN"/>
        </w:rPr>
        <w:t>contribution</w:t>
      </w:r>
      <w:r>
        <w:rPr>
          <w:rFonts w:eastAsia="宋体"/>
          <w:bCs/>
          <w:color w:val="auto"/>
          <w:sz w:val="21"/>
          <w:szCs w:val="21"/>
          <w:lang w:val="en-GB" w:eastAsia="zh-CN"/>
        </w:rPr>
        <w:t>, we have the following</w:t>
      </w:r>
      <w:r>
        <w:rPr>
          <w:rFonts w:hint="eastAsia" w:eastAsia="宋体"/>
          <w:bCs/>
          <w:color w:val="auto"/>
          <w:sz w:val="21"/>
          <w:szCs w:val="21"/>
          <w:lang w:val="en-US" w:eastAsia="zh-CN"/>
        </w:rPr>
        <w:t xml:space="preserve"> proposals </w:t>
      </w:r>
      <w:r>
        <w:rPr>
          <w:rFonts w:eastAsia="宋体"/>
          <w:bCs/>
          <w:color w:val="auto"/>
          <w:sz w:val="21"/>
          <w:szCs w:val="21"/>
          <w:lang w:val="en-GB" w:eastAsia="zh-CN"/>
        </w:rPr>
        <w:t xml:space="preserve">for </w:t>
      </w:r>
      <w:r>
        <w:rPr>
          <w:rFonts w:hint="eastAsia" w:eastAsia="宋体"/>
          <w:bCs/>
          <w:color w:val="auto"/>
          <w:sz w:val="21"/>
          <w:szCs w:val="21"/>
          <w:lang w:val="en-US" w:eastAsia="zh-CN"/>
        </w:rPr>
        <w:t>the enhancement of MPE mitigation</w:t>
      </w:r>
      <w:r>
        <w:rPr>
          <w:rFonts w:eastAsia="宋体"/>
          <w:bCs/>
          <w:color w:val="auto"/>
          <w:sz w:val="21"/>
          <w:szCs w:val="21"/>
          <w:lang w:val="en-GB" w:eastAsia="zh-CN"/>
        </w:rPr>
        <w:t>:</w:t>
      </w:r>
    </w:p>
    <w:p>
      <w:pPr>
        <w:pStyle w:val="3"/>
        <w:jc w:val="both"/>
        <w:rPr>
          <w:rFonts w:hint="eastAsia" w:eastAsia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eastAsia="宋体" w:cs="Times New Roman"/>
          <w:b/>
          <w:bCs/>
          <w:color w:val="auto"/>
          <w:sz w:val="21"/>
          <w:szCs w:val="21"/>
          <w:highlight w:val="none"/>
          <w:lang w:val="en-US" w:eastAsia="zh-CN" w:bidi="ar-SA"/>
        </w:rPr>
        <w:t xml:space="preserve">Observation 1: Until now, without any enhancement about Pcmax approved in RAN1, so the meaning of Pcmax is still same as in legacy Rel-16. </w:t>
      </w:r>
    </w:p>
    <w:p>
      <w:pPr>
        <w:pStyle w:val="3"/>
        <w:rPr>
          <w:rFonts w:hint="eastAsia" w:eastAsia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eastAsia="宋体"/>
          <w:b/>
          <w:bCs/>
          <w:color w:val="auto"/>
          <w:sz w:val="21"/>
          <w:szCs w:val="21"/>
          <w:highlight w:val="none"/>
          <w:lang w:val="en-US" w:eastAsia="zh-CN"/>
        </w:rPr>
        <w:t>Proposal</w:t>
      </w:r>
      <w:r>
        <w:rPr>
          <w:rFonts w:eastAsia="宋体"/>
          <w:b/>
          <w:bCs/>
          <w:color w:val="auto"/>
          <w:sz w:val="21"/>
          <w:szCs w:val="21"/>
          <w:highlight w:val="none"/>
          <w:lang w:val="en-GB" w:eastAsia="zh-CN"/>
        </w:rPr>
        <w:t xml:space="preserve"> 1:</w:t>
      </w:r>
      <w:r>
        <w:rPr>
          <w:rFonts w:hint="eastAsia" w:eastAsia="宋体"/>
          <w:b/>
          <w:bCs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eastAsia="宋体" w:cs="Times New Roman"/>
          <w:b/>
          <w:bCs/>
          <w:color w:val="auto"/>
          <w:sz w:val="21"/>
          <w:szCs w:val="21"/>
          <w:highlight w:val="none"/>
          <w:lang w:val="en-US" w:eastAsia="zh-CN" w:bidi="ar-SA"/>
        </w:rPr>
        <w:t>From RAN4</w:t>
      </w:r>
      <w:r>
        <w:rPr>
          <w:rFonts w:hint="default" w:eastAsia="宋体" w:cs="Times New Roman"/>
          <w:b/>
          <w:bCs/>
          <w:color w:val="auto"/>
          <w:sz w:val="21"/>
          <w:szCs w:val="21"/>
          <w:highlight w:val="none"/>
          <w:lang w:val="en-US" w:eastAsia="zh-CN" w:bidi="ar-SA"/>
        </w:rPr>
        <w:t>’</w:t>
      </w:r>
      <w:r>
        <w:rPr>
          <w:rFonts w:hint="eastAsia" w:eastAsia="宋体" w:cs="Times New Roman"/>
          <w:b/>
          <w:bCs/>
          <w:color w:val="auto"/>
          <w:sz w:val="21"/>
          <w:szCs w:val="21"/>
          <w:highlight w:val="none"/>
          <w:lang w:val="en-US" w:eastAsia="zh-CN" w:bidi="ar-SA"/>
        </w:rPr>
        <w:t>s perspective, not any requirement enhancement or additional relation clarification is needed.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color w:val="auto"/>
          <w:lang w:val="en-US" w:eastAsia="zh-CN"/>
        </w:rPr>
      </w:pPr>
      <w:r>
        <w:rPr>
          <w:rFonts w:hint="eastAsia" w:eastAsia="宋体"/>
          <w:color w:val="auto"/>
          <w:lang w:val="en-US" w:eastAsia="zh-CN"/>
        </w:rPr>
        <w:t>Reference</w:t>
      </w:r>
    </w:p>
    <w:p>
      <w:pPr>
        <w:pStyle w:val="9"/>
        <w:rPr>
          <w:color w:val="auto"/>
        </w:rPr>
      </w:pPr>
      <w:r>
        <w:rPr>
          <w:rFonts w:hint="eastAsia"/>
          <w:color w:val="auto"/>
          <w:lang w:val="en-US" w:eastAsia="zh-CN"/>
        </w:rPr>
        <w:t>R4-2</w:t>
      </w:r>
      <w:r>
        <w:rPr>
          <w:rFonts w:hint="eastAsia"/>
          <w:color w:val="auto"/>
          <w:highlight w:val="none"/>
          <w:lang w:val="en-US" w:eastAsia="zh-CN"/>
        </w:rPr>
        <w:t>120006</w:t>
      </w:r>
      <w:r>
        <w:rPr>
          <w:rFonts w:hint="eastAsia"/>
          <w:color w:val="auto"/>
          <w:lang w:val="en-US" w:eastAsia="zh-CN"/>
        </w:rPr>
        <w:t xml:space="preserve">, </w:t>
      </w:r>
      <w:r>
        <w:rPr>
          <w:rFonts w:hint="default"/>
          <w:color w:val="auto"/>
          <w:lang w:val="en-US" w:eastAsia="zh-CN"/>
        </w:rPr>
        <w:t>“</w:t>
      </w:r>
      <w:r>
        <w:rPr>
          <w:rFonts w:hint="eastAsia"/>
          <w:color w:val="auto"/>
          <w:lang w:val="en-US" w:eastAsia="zh-CN"/>
        </w:rPr>
        <w:t>WF on FeMIMO RF</w:t>
      </w:r>
      <w:r>
        <w:rPr>
          <w:rFonts w:hint="default"/>
          <w:color w:val="auto"/>
          <w:lang w:val="en-US" w:eastAsia="zh-CN"/>
        </w:rPr>
        <w:t>”</w:t>
      </w:r>
      <w:r>
        <w:rPr>
          <w:rFonts w:hint="eastAsia"/>
          <w:color w:val="auto"/>
          <w:lang w:val="en-US" w:eastAsia="zh-CN"/>
        </w:rPr>
        <w:t>, Samsung.</w:t>
      </w:r>
    </w:p>
    <w:p>
      <w:pPr>
        <w:pStyle w:val="9"/>
        <w:rPr>
          <w:color w:val="auto"/>
        </w:rPr>
      </w:pPr>
      <w:r>
        <w:rPr>
          <w:rFonts w:hint="eastAsia"/>
          <w:color w:val="auto"/>
          <w:lang w:val="en-US" w:eastAsia="zh-CN"/>
        </w:rPr>
        <w:t xml:space="preserve">R4-2202370, </w:t>
      </w:r>
      <w:r>
        <w:rPr>
          <w:rFonts w:hint="default"/>
          <w:color w:val="auto"/>
          <w:lang w:val="en-US" w:eastAsia="zh-CN"/>
        </w:rPr>
        <w:t>“WF on remaining issues of FeMIMO”</w:t>
      </w:r>
      <w:r>
        <w:rPr>
          <w:rFonts w:hint="eastAsia"/>
          <w:color w:val="auto"/>
          <w:lang w:val="en-US" w:eastAsia="zh-CN"/>
        </w:rPr>
        <w:t>, Samsung.</w:t>
      </w:r>
    </w:p>
    <w:p>
      <w:pPr>
        <w:pStyle w:val="9"/>
        <w:bidi w:val="0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Chair's Notes RAN1#10</w:t>
      </w:r>
      <w:r>
        <w:rPr>
          <w:rFonts w:hint="eastAsia"/>
          <w:lang w:val="en-US" w:eastAsia="zh-CN"/>
        </w:rPr>
        <w:t>5</w:t>
      </w:r>
      <w:r>
        <w:rPr>
          <w:rFonts w:hint="default"/>
          <w:lang w:val="en-US" w:eastAsia="zh-CN"/>
        </w:rPr>
        <w:t>-e</w:t>
      </w:r>
    </w:p>
    <w:p>
      <w:pPr>
        <w:pStyle w:val="9"/>
        <w:bidi w:val="0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Chair's Notes RAN1#106-e</w:t>
      </w:r>
    </w:p>
    <w:p>
      <w:pPr>
        <w:pStyle w:val="9"/>
        <w:bidi w:val="0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Chair's Notes RAN1#106bis-e</w:t>
      </w:r>
    </w:p>
    <w:p>
      <w:pPr>
        <w:pStyle w:val="9"/>
        <w:bidi w:val="0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TS 38.321-g50</w:t>
      </w:r>
    </w:p>
    <w:p>
      <w:pPr>
        <w:pStyle w:val="9"/>
        <w:numPr>
          <w:ilvl w:val="0"/>
          <w:numId w:val="0"/>
        </w:numPr>
        <w:ind w:leftChars="0"/>
        <w:rPr>
          <w:color w:val="auto"/>
        </w:rPr>
      </w:pPr>
    </w:p>
    <w:sectPr>
      <w:footerReference r:id="rId3" w:type="default"/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 w:eastAsia="zh-CN"/>
      </w:rP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F6B4C67"/>
    <w:multiLevelType w:val="singleLevel"/>
    <w:tmpl w:val="CF6B4C67"/>
    <w:lvl w:ilvl="0" w:tentative="0">
      <w:start w:val="1"/>
      <w:numFmt w:val="bullet"/>
      <w:lvlText w:val="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1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19BF726B"/>
    <w:multiLevelType w:val="multilevel"/>
    <w:tmpl w:val="19BF726B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92BEB79"/>
    <w:multiLevelType w:val="singleLevel"/>
    <w:tmpl w:val="292BEB79"/>
    <w:lvl w:ilvl="0" w:tentative="0">
      <w:start w:val="1"/>
      <w:numFmt w:val="bullet"/>
      <w:lvlText w:val="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4">
    <w:nsid w:val="2F092AFD"/>
    <w:multiLevelType w:val="multilevel"/>
    <w:tmpl w:val="2F092AFD"/>
    <w:lvl w:ilvl="0" w:tentative="0">
      <w:start w:val="0"/>
      <w:numFmt w:val="bullet"/>
      <w:lvlText w:val="-"/>
      <w:lvlJc w:val="left"/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1200" w:hanging="400"/>
      </w:pPr>
      <w:rPr>
        <w:rFonts w:hint="default" w:ascii="Wingdings" w:hAnsi="Wingdings"/>
      </w:rPr>
    </w:lvl>
    <w:lvl w:ilvl="2" w:tentative="0">
      <w:start w:val="1"/>
      <w:numFmt w:val="bullet"/>
      <w:lvlText w:val="•"/>
      <w:lvlJc w:val="left"/>
      <w:rPr>
        <w:rFonts w:hint="default" w:ascii="Arial" w:hAnsi="Arial"/>
      </w:rPr>
    </w:lvl>
    <w:lvl w:ilvl="3" w:tentative="0">
      <w:start w:val="1"/>
      <w:numFmt w:val="bullet"/>
      <w:lvlText w:val=""/>
      <w:lvlJc w:val="left"/>
      <w:pPr>
        <w:ind w:left="2000" w:hanging="40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0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0" w:hanging="40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00" w:hanging="40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00" w:hanging="40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00" w:hanging="400"/>
      </w:pPr>
      <w:rPr>
        <w:rFonts w:hint="default" w:ascii="Wingdings" w:hAnsi="Wingdings"/>
      </w:rPr>
    </w:lvl>
  </w:abstractNum>
  <w:abstractNum w:abstractNumId="5">
    <w:nsid w:val="4D6E3167"/>
    <w:multiLevelType w:val="multilevel"/>
    <w:tmpl w:val="4D6E3167"/>
    <w:lvl w:ilvl="0" w:tentative="0">
      <w:start w:val="1"/>
      <w:numFmt w:val="decimal"/>
      <w:pStyle w:val="41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12E28D3"/>
    <w:multiLevelType w:val="multilevel"/>
    <w:tmpl w:val="512E28D3"/>
    <w:lvl w:ilvl="0" w:tentative="0">
      <w:start w:val="0"/>
      <w:numFmt w:val="bullet"/>
      <w:lvlText w:val="-"/>
      <w:lvlJc w:val="left"/>
      <w:pPr>
        <w:ind w:left="76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1200" w:hanging="40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00" w:hanging="40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00" w:hanging="40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0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0" w:hanging="40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00" w:hanging="40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00" w:hanging="40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00" w:hanging="400"/>
      </w:pPr>
      <w:rPr>
        <w:rFonts w:hint="default" w:ascii="Wingdings" w:hAnsi="Wingdings"/>
      </w:rPr>
    </w:lvl>
  </w:abstractNum>
  <w:abstractNum w:abstractNumId="7">
    <w:nsid w:val="56123AE4"/>
    <w:multiLevelType w:val="multilevel"/>
    <w:tmpl w:val="56123AE4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62813F17"/>
    <w:multiLevelType w:val="multilevel"/>
    <w:tmpl w:val="62813F17"/>
    <w:lvl w:ilvl="0" w:tentative="0">
      <w:start w:val="1"/>
      <w:numFmt w:val="bullet"/>
      <w:lvlText w:val=""/>
      <w:lvlJc w:val="left"/>
      <w:pPr>
        <w:tabs>
          <w:tab w:val="left" w:pos="-420"/>
        </w:tabs>
        <w:ind w:left="30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hint="default" w:ascii="Wingdings" w:hAnsi="Wingdings"/>
      </w:rPr>
    </w:lvl>
  </w:abstractNum>
  <w:abstractNum w:abstractNumId="9">
    <w:nsid w:val="62E6891E"/>
    <w:multiLevelType w:val="singleLevel"/>
    <w:tmpl w:val="62E6891E"/>
    <w:lvl w:ilvl="0" w:tentative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hint="default" w:ascii="Wingdings" w:hAnsi="Wingdings"/>
      </w:rPr>
    </w:lvl>
  </w:abstractNum>
  <w:abstractNum w:abstractNumId="10">
    <w:nsid w:val="64C51584"/>
    <w:multiLevelType w:val="multilevel"/>
    <w:tmpl w:val="64C51584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B5B4F67"/>
    <w:multiLevelType w:val="multilevel"/>
    <w:tmpl w:val="6B5B4F67"/>
    <w:lvl w:ilvl="0" w:tentative="0">
      <w:start w:val="1"/>
      <w:numFmt w:val="decimal"/>
      <w:pStyle w:val="9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0"/>
  </w:num>
  <w:num w:numId="5">
    <w:abstractNumId w:val="9"/>
  </w:num>
  <w:num w:numId="6">
    <w:abstractNumId w:val="3"/>
  </w:num>
  <w:num w:numId="7">
    <w:abstractNumId w:val="6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C58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3FEE"/>
    <w:rsid w:val="002257E3"/>
    <w:rsid w:val="00226A6A"/>
    <w:rsid w:val="00226C69"/>
    <w:rsid w:val="002275A9"/>
    <w:rsid w:val="00231CDE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401D"/>
    <w:rsid w:val="002A41E5"/>
    <w:rsid w:val="002A7AD8"/>
    <w:rsid w:val="002B0C44"/>
    <w:rsid w:val="002B1410"/>
    <w:rsid w:val="002B2139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4C11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F4"/>
    <w:rsid w:val="008E0B59"/>
    <w:rsid w:val="008E18F1"/>
    <w:rsid w:val="008E1AA7"/>
    <w:rsid w:val="008E491E"/>
    <w:rsid w:val="008E4AC4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3875"/>
    <w:rsid w:val="00CF5BC3"/>
    <w:rsid w:val="00CF7484"/>
    <w:rsid w:val="00D0046C"/>
    <w:rsid w:val="00D00771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1CED"/>
    <w:rsid w:val="00E1404F"/>
    <w:rsid w:val="00E14E60"/>
    <w:rsid w:val="00E14F3C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3D80C35"/>
    <w:rsid w:val="0405471F"/>
    <w:rsid w:val="045D5DCE"/>
    <w:rsid w:val="05200480"/>
    <w:rsid w:val="06AA1695"/>
    <w:rsid w:val="07CD3CDD"/>
    <w:rsid w:val="0C5A35F9"/>
    <w:rsid w:val="0CC1076F"/>
    <w:rsid w:val="0F4B67EF"/>
    <w:rsid w:val="0F5E2230"/>
    <w:rsid w:val="10845506"/>
    <w:rsid w:val="10DA5664"/>
    <w:rsid w:val="10F01192"/>
    <w:rsid w:val="12CB53F3"/>
    <w:rsid w:val="13060AA5"/>
    <w:rsid w:val="16133E3F"/>
    <w:rsid w:val="16E7731D"/>
    <w:rsid w:val="17542C92"/>
    <w:rsid w:val="17AC3E9B"/>
    <w:rsid w:val="18AA5B3E"/>
    <w:rsid w:val="19074ED7"/>
    <w:rsid w:val="194122C5"/>
    <w:rsid w:val="1B5A5199"/>
    <w:rsid w:val="1BD31CD2"/>
    <w:rsid w:val="1F19538C"/>
    <w:rsid w:val="2082712A"/>
    <w:rsid w:val="21B11B74"/>
    <w:rsid w:val="231F3A56"/>
    <w:rsid w:val="24715F69"/>
    <w:rsid w:val="263D51AB"/>
    <w:rsid w:val="2B034D47"/>
    <w:rsid w:val="2CC92235"/>
    <w:rsid w:val="2D8824A9"/>
    <w:rsid w:val="2DBD3842"/>
    <w:rsid w:val="2DBD3CB8"/>
    <w:rsid w:val="2E1176AC"/>
    <w:rsid w:val="2ECB7AE0"/>
    <w:rsid w:val="2F196F3B"/>
    <w:rsid w:val="2F6A7113"/>
    <w:rsid w:val="30C973EB"/>
    <w:rsid w:val="33672BF5"/>
    <w:rsid w:val="347811E5"/>
    <w:rsid w:val="350312A7"/>
    <w:rsid w:val="3C4E1516"/>
    <w:rsid w:val="3D0F477C"/>
    <w:rsid w:val="3D6F2596"/>
    <w:rsid w:val="3FF32B7B"/>
    <w:rsid w:val="404F7A6B"/>
    <w:rsid w:val="40C765F3"/>
    <w:rsid w:val="40CC463F"/>
    <w:rsid w:val="42CE6A0F"/>
    <w:rsid w:val="42E26F89"/>
    <w:rsid w:val="43C320E4"/>
    <w:rsid w:val="442D6965"/>
    <w:rsid w:val="455509E4"/>
    <w:rsid w:val="45F60A50"/>
    <w:rsid w:val="46157ABD"/>
    <w:rsid w:val="46280997"/>
    <w:rsid w:val="477801EF"/>
    <w:rsid w:val="47DB43C5"/>
    <w:rsid w:val="4CC53F61"/>
    <w:rsid w:val="4D202C71"/>
    <w:rsid w:val="4D513299"/>
    <w:rsid w:val="4E6F0AEA"/>
    <w:rsid w:val="4EA56C23"/>
    <w:rsid w:val="4F0B3630"/>
    <w:rsid w:val="4F9305DC"/>
    <w:rsid w:val="4FBD6EC5"/>
    <w:rsid w:val="517202D3"/>
    <w:rsid w:val="51B14BED"/>
    <w:rsid w:val="51CF00E7"/>
    <w:rsid w:val="52F664E7"/>
    <w:rsid w:val="52FE4FB2"/>
    <w:rsid w:val="5342118C"/>
    <w:rsid w:val="54175BE1"/>
    <w:rsid w:val="544A23E1"/>
    <w:rsid w:val="560E743D"/>
    <w:rsid w:val="564B25D4"/>
    <w:rsid w:val="566165B2"/>
    <w:rsid w:val="56D06899"/>
    <w:rsid w:val="58C80CE9"/>
    <w:rsid w:val="58E11E6E"/>
    <w:rsid w:val="590733E0"/>
    <w:rsid w:val="59E05DA7"/>
    <w:rsid w:val="5A151B9F"/>
    <w:rsid w:val="5A26004C"/>
    <w:rsid w:val="5B0524C2"/>
    <w:rsid w:val="5D103461"/>
    <w:rsid w:val="5DCE6073"/>
    <w:rsid w:val="5F7F3C30"/>
    <w:rsid w:val="60552863"/>
    <w:rsid w:val="6086070B"/>
    <w:rsid w:val="63357437"/>
    <w:rsid w:val="6544784D"/>
    <w:rsid w:val="65CD0C5C"/>
    <w:rsid w:val="65F872D3"/>
    <w:rsid w:val="66E759DF"/>
    <w:rsid w:val="68105991"/>
    <w:rsid w:val="68797DD1"/>
    <w:rsid w:val="68A411BE"/>
    <w:rsid w:val="6BD66290"/>
    <w:rsid w:val="6C7858D5"/>
    <w:rsid w:val="6CF36133"/>
    <w:rsid w:val="6DDE3DAF"/>
    <w:rsid w:val="70A55C85"/>
    <w:rsid w:val="7123768D"/>
    <w:rsid w:val="715F4C2D"/>
    <w:rsid w:val="76DB757D"/>
    <w:rsid w:val="77770209"/>
    <w:rsid w:val="77B7237F"/>
    <w:rsid w:val="79212E3C"/>
    <w:rsid w:val="7AB943F6"/>
    <w:rsid w:val="7C45431D"/>
    <w:rsid w:val="7C963B24"/>
    <w:rsid w:val="7DDD0501"/>
    <w:rsid w:val="7E2B63E7"/>
    <w:rsid w:val="7E935AFB"/>
    <w:rsid w:val="7FA91BE9"/>
    <w:rsid w:val="7FC90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3"/>
    <w:link w:val="20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4">
    <w:name w:val="heading 2"/>
    <w:basedOn w:val="1"/>
    <w:next w:val="1"/>
    <w:link w:val="21"/>
    <w:qFormat/>
    <w:uiPriority w:val="0"/>
    <w:pPr>
      <w:keepNext/>
      <w:spacing w:before="240" w:after="60"/>
      <w:outlineLvl w:val="1"/>
    </w:pPr>
    <w:rPr>
      <w:rFonts w:ascii="Helvetica" w:hAnsi="Helvetica" w:eastAsia="MS Mincho"/>
      <w:b/>
      <w:bCs/>
      <w:iCs/>
      <w:szCs w:val="28"/>
      <w:lang w:val="zh-CN"/>
    </w:rPr>
  </w:style>
  <w:style w:type="paragraph" w:styleId="5">
    <w:name w:val="heading 3"/>
    <w:basedOn w:val="4"/>
    <w:next w:val="1"/>
    <w:link w:val="48"/>
    <w:unhideWhenUsed/>
    <w:qFormat/>
    <w:uiPriority w:val="9"/>
    <w:pPr>
      <w:keepNext/>
      <w:keepLines/>
      <w:spacing w:before="260" w:after="260" w:line="416" w:lineRule="auto"/>
      <w:outlineLvl w:val="2"/>
    </w:pPr>
    <w:rPr>
      <w:sz w:val="32"/>
      <w:szCs w:val="32"/>
    </w:rPr>
  </w:style>
  <w:style w:type="character" w:default="1" w:styleId="18">
    <w:name w:val="Default Paragraph Font"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2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6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7">
    <w:name w:val="Document Map"/>
    <w:basedOn w:val="1"/>
    <w:link w:val="28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8">
    <w:name w:val="annotation text"/>
    <w:basedOn w:val="1"/>
    <w:semiHidden/>
    <w:unhideWhenUsed/>
    <w:qFormat/>
    <w:uiPriority w:val="0"/>
    <w:pPr>
      <w:jc w:val="left"/>
    </w:pPr>
  </w:style>
  <w:style w:type="paragraph" w:styleId="9">
    <w:name w:val="List 2"/>
    <w:basedOn w:val="10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0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1">
    <w:name w:val="Date"/>
    <w:basedOn w:val="1"/>
    <w:next w:val="1"/>
    <w:link w:val="45"/>
    <w:semiHidden/>
    <w:unhideWhenUsed/>
    <w:qFormat/>
    <w:uiPriority w:val="99"/>
    <w:pPr>
      <w:ind w:left="100" w:leftChars="2500"/>
    </w:pPr>
  </w:style>
  <w:style w:type="paragraph" w:styleId="12">
    <w:name w:val="Balloon Text"/>
    <w:basedOn w:val="1"/>
    <w:link w:val="26"/>
    <w:semiHidden/>
    <w:unhideWhenUsed/>
    <w:qFormat/>
    <w:uiPriority w:val="99"/>
    <w:rPr>
      <w:sz w:val="18"/>
      <w:szCs w:val="18"/>
      <w:lang w:val="zh-CN"/>
    </w:rPr>
  </w:style>
  <w:style w:type="paragraph" w:styleId="13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4">
    <w:name w:val="header"/>
    <w:basedOn w:val="1"/>
    <w:link w:val="23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5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table" w:styleId="17">
    <w:name w:val="Table Grid"/>
    <w:basedOn w:val="1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Hyperlink"/>
    <w:qFormat/>
    <w:uiPriority w:val="99"/>
    <w:rPr>
      <w:color w:val="0000FF"/>
      <w:u w:val="single"/>
    </w:rPr>
  </w:style>
  <w:style w:type="character" w:customStyle="1" w:styleId="20">
    <w:name w:val="Heading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1">
    <w:name w:val="Heading 2 Char1"/>
    <w:link w:val="4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2">
    <w:name w:val="Body Text Char"/>
    <w:link w:val="3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3">
    <w:name w:val="Header Char"/>
    <w:link w:val="14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4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25">
    <w:name w:val="Footer Char"/>
    <w:link w:val="13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6">
    <w:name w:val="Balloon Text Char"/>
    <w:link w:val="12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27">
    <w:name w:val="List Paragraph"/>
    <w:basedOn w:val="1"/>
    <w:link w:val="43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28">
    <w:name w:val="Document Map Char"/>
    <w:link w:val="7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29">
    <w:name w:val="B1"/>
    <w:basedOn w:val="10"/>
    <w:link w:val="30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0">
    <w:name w:val="B1 (文字)"/>
    <w:link w:val="2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31">
    <w:name w:val="B1 Char1"/>
    <w:qFormat/>
    <w:uiPriority w:val="0"/>
    <w:rPr>
      <w:lang w:val="en-GB" w:eastAsia="en-US"/>
    </w:rPr>
  </w:style>
  <w:style w:type="paragraph" w:customStyle="1" w:styleId="32">
    <w:name w:val="TAH"/>
    <w:basedOn w:val="33"/>
    <w:link w:val="38"/>
    <w:qFormat/>
    <w:uiPriority w:val="0"/>
    <w:rPr>
      <w:b/>
    </w:rPr>
  </w:style>
  <w:style w:type="paragraph" w:customStyle="1" w:styleId="33">
    <w:name w:val="TAC"/>
    <w:basedOn w:val="34"/>
    <w:link w:val="37"/>
    <w:qFormat/>
    <w:uiPriority w:val="0"/>
    <w:pPr>
      <w:keepNext/>
      <w:keepLines/>
      <w:jc w:val="center"/>
    </w:pPr>
    <w:rPr>
      <w:rFonts w:ascii="Arial" w:hAnsi="Arial" w:eastAsia="宋体"/>
      <w:sz w:val="18"/>
      <w:szCs w:val="20"/>
      <w:lang w:val="en-GB" w:eastAsia="zh-CN"/>
    </w:rPr>
  </w:style>
  <w:style w:type="paragraph" w:customStyle="1" w:styleId="34">
    <w:name w:val="TAL"/>
    <w:basedOn w:val="1"/>
    <w:link w:val="47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35">
    <w:name w:val="TH"/>
    <w:basedOn w:val="1"/>
    <w:link w:val="36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36">
    <w:name w:val="TH Char"/>
    <w:link w:val="35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37">
    <w:name w:val="TAC Char"/>
    <w:link w:val="33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38">
    <w:name w:val="TAH Car"/>
    <w:link w:val="32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3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0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1">
    <w:name w:val="RAN4 proposal"/>
    <w:basedOn w:val="6"/>
    <w:next w:val="1"/>
    <w:link w:val="42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2">
    <w:name w:val="RAN4 proposal Char"/>
    <w:link w:val="41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3">
    <w:name w:val="List Paragraph Char"/>
    <w:link w:val="27"/>
    <w:qFormat/>
    <w:uiPriority w:val="34"/>
    <w:rPr>
      <w:kern w:val="2"/>
      <w:sz w:val="21"/>
      <w:szCs w:val="22"/>
    </w:rPr>
  </w:style>
  <w:style w:type="character" w:customStyle="1" w:styleId="44">
    <w:name w:val="ZGSM"/>
    <w:qFormat/>
    <w:uiPriority w:val="0"/>
  </w:style>
  <w:style w:type="character" w:customStyle="1" w:styleId="45">
    <w:name w:val="Date Char"/>
    <w:link w:val="11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4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47">
    <w:name w:val="TAL Char"/>
    <w:link w:val="34"/>
    <w:qFormat/>
    <w:uiPriority w:val="0"/>
    <w:rPr>
      <w:rFonts w:ascii="Arial" w:hAnsi="Arial"/>
      <w:sz w:val="18"/>
      <w:lang w:val="en-GB" w:eastAsia="en-US"/>
    </w:rPr>
  </w:style>
  <w:style w:type="character" w:customStyle="1" w:styleId="48">
    <w:name w:val="Heading 3 Char"/>
    <w:link w:val="5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49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0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548</Words>
  <Characters>3128</Characters>
  <Lines>26</Lines>
  <Paragraphs>7</Paragraphs>
  <TotalTime>1</TotalTime>
  <ScaleCrop>false</ScaleCrop>
  <LinksUpToDate>false</LinksUpToDate>
  <CharactersWithSpaces>3669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2021-01-11T23:30:00Z</dcterms:created>
  <dc:creator>Aijun CAO</dc:creator>
  <cp:lastModifiedBy>ZTE</cp:lastModifiedBy>
  <cp:lastPrinted>2015-02-02T11:17:00Z</cp:lastPrinted>
  <dcterms:modified xsi:type="dcterms:W3CDTF">2022-02-14T12:48:08Z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